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CE79" w14:textId="4A3F8EF1" w:rsidR="00DF4852" w:rsidRPr="00D909DC" w:rsidRDefault="00DF4852" w:rsidP="00D909DC">
      <w:pPr>
        <w:pStyle w:val="ListParagraph"/>
        <w:jc w:val="center"/>
        <w:rPr>
          <w:rFonts w:eastAsia="Times New Roman"/>
          <w:b/>
          <w:bCs/>
          <w:sz w:val="28"/>
          <w:szCs w:val="28"/>
        </w:rPr>
      </w:pPr>
      <w:bookmarkStart w:id="0" w:name="_Hlk36564269"/>
      <w:r>
        <w:rPr>
          <w:rFonts w:eastAsia="Times New Roman"/>
          <w:b/>
          <w:bCs/>
          <w:sz w:val="28"/>
          <w:szCs w:val="28"/>
        </w:rPr>
        <w:t xml:space="preserve">GAC </w:t>
      </w:r>
      <w:r w:rsidR="00A74742">
        <w:rPr>
          <w:rFonts w:eastAsia="Times New Roman"/>
          <w:b/>
          <w:bCs/>
          <w:sz w:val="28"/>
          <w:szCs w:val="28"/>
        </w:rPr>
        <w:t xml:space="preserve">Expectations of Schools During the </w:t>
      </w:r>
      <w:r w:rsidRPr="00D909DC">
        <w:rPr>
          <w:rFonts w:eastAsia="Times New Roman"/>
          <w:b/>
          <w:bCs/>
          <w:sz w:val="28"/>
          <w:szCs w:val="28"/>
        </w:rPr>
        <w:t>COVID-19 Crisis</w:t>
      </w:r>
    </w:p>
    <w:bookmarkEnd w:id="0"/>
    <w:p w14:paraId="70FEFE7C" w14:textId="77777777" w:rsidR="00DF4852" w:rsidRPr="00DF4852" w:rsidRDefault="00DF4852" w:rsidP="00DF4852">
      <w:pPr>
        <w:pStyle w:val="ListParagraph"/>
        <w:jc w:val="center"/>
        <w:rPr>
          <w:rFonts w:eastAsia="Times New Roman"/>
          <w:b/>
          <w:bCs/>
          <w:sz w:val="28"/>
          <w:szCs w:val="28"/>
        </w:rPr>
      </w:pPr>
    </w:p>
    <w:p w14:paraId="5A8FFA9C" w14:textId="738A41FD" w:rsidR="00095432" w:rsidRDefault="00095432" w:rsidP="00DF4852"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 G</w:t>
      </w:r>
      <w:r w:rsidR="00DF4852">
        <w:rPr>
          <w:rFonts w:eastAsia="Times New Roman"/>
          <w:sz w:val="28"/>
          <w:szCs w:val="28"/>
        </w:rPr>
        <w:t>eorgia Accrediting Commission</w:t>
      </w:r>
      <w:r>
        <w:rPr>
          <w:rFonts w:eastAsia="Times New Roman"/>
          <w:sz w:val="28"/>
          <w:szCs w:val="28"/>
        </w:rPr>
        <w:t xml:space="preserve"> is carefully monitoring the COVID-19 crisis and its impact on our member schools.  While student safety is of paramount concern, we are also trying to keep student instructional needs in focus.</w:t>
      </w:r>
      <w:r w:rsidR="00EC4E96">
        <w:rPr>
          <w:rFonts w:eastAsia="Times New Roman"/>
          <w:sz w:val="28"/>
          <w:szCs w:val="28"/>
        </w:rPr>
        <w:t xml:space="preserve">  The GAC is prepared to grant temporary flexibility to its standards to allow teachers to safely teach children.</w:t>
      </w:r>
    </w:p>
    <w:p w14:paraId="1C4D335B" w14:textId="28B0A872" w:rsidR="00D909DC" w:rsidRDefault="00D909DC" w:rsidP="00D909DC">
      <w:pPr>
        <w:rPr>
          <w:rFonts w:eastAsia="Times New Roman"/>
          <w:sz w:val="28"/>
          <w:szCs w:val="28"/>
        </w:rPr>
      </w:pPr>
    </w:p>
    <w:p w14:paraId="05CF439E" w14:textId="77777777" w:rsidR="00D909DC" w:rsidRDefault="00D909DC" w:rsidP="00D909DC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GAC expectations for schools that have face to face instruction</w:t>
      </w:r>
    </w:p>
    <w:p w14:paraId="7B61A703" w14:textId="77777777" w:rsidR="00D909DC" w:rsidRDefault="00D909DC" w:rsidP="00D909DC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 GAC expects schools to follow guidelines for safe schools as developed by appropriate agencies.  Below are links to three sources:</w:t>
      </w:r>
    </w:p>
    <w:p w14:paraId="6C511B25" w14:textId="77777777" w:rsidR="00D909DC" w:rsidRDefault="00D909DC" w:rsidP="00D909DC">
      <w:pPr>
        <w:pStyle w:val="ListParagraph"/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80214">
        <w:rPr>
          <w:rFonts w:eastAsia="Times New Roman"/>
          <w:sz w:val="28"/>
          <w:szCs w:val="28"/>
        </w:rPr>
        <w:t>GA Department of Public Health Guidance</w:t>
      </w:r>
    </w:p>
    <w:p w14:paraId="7E8B3A6C" w14:textId="77777777" w:rsidR="00D909DC" w:rsidRDefault="00AA5881" w:rsidP="00D909DC">
      <w:pPr>
        <w:pStyle w:val="ListParagraph"/>
        <w:numPr>
          <w:ilvl w:val="3"/>
          <w:numId w:val="1"/>
        </w:numPr>
        <w:rPr>
          <w:rFonts w:eastAsia="Times New Roman"/>
          <w:sz w:val="28"/>
          <w:szCs w:val="28"/>
        </w:rPr>
      </w:pPr>
      <w:hyperlink r:id="rId5" w:history="1">
        <w:r w:rsidR="00D909DC" w:rsidRPr="00E07027">
          <w:rPr>
            <w:rStyle w:val="Hyperlink"/>
            <w:rFonts w:eastAsia="Times New Roman"/>
            <w:sz w:val="28"/>
            <w:szCs w:val="28"/>
          </w:rPr>
          <w:t>https://dph.georgia.gov/novelcoronavirus</w:t>
        </w:r>
      </w:hyperlink>
      <w:r w:rsidR="00D909DC" w:rsidRPr="00780214">
        <w:rPr>
          <w:rFonts w:eastAsia="Times New Roman"/>
          <w:sz w:val="28"/>
          <w:szCs w:val="28"/>
        </w:rPr>
        <w:t xml:space="preserve"> </w:t>
      </w:r>
    </w:p>
    <w:p w14:paraId="3E4D354C" w14:textId="77777777" w:rsidR="00D909DC" w:rsidRPr="00F10EC6" w:rsidRDefault="00D909DC" w:rsidP="00D909DC">
      <w:pPr>
        <w:pStyle w:val="ListParagraph"/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10EC6">
        <w:rPr>
          <w:rFonts w:eastAsia="Times New Roman"/>
          <w:sz w:val="28"/>
          <w:szCs w:val="28"/>
        </w:rPr>
        <w:t xml:space="preserve">CDC Guidance  </w:t>
      </w:r>
    </w:p>
    <w:p w14:paraId="33028C63" w14:textId="77777777" w:rsidR="00D909DC" w:rsidRDefault="00AA5881" w:rsidP="00D909DC">
      <w:pPr>
        <w:pStyle w:val="ListParagraph"/>
        <w:numPr>
          <w:ilvl w:val="3"/>
          <w:numId w:val="1"/>
        </w:numPr>
        <w:rPr>
          <w:rFonts w:eastAsia="Times New Roman"/>
          <w:sz w:val="28"/>
          <w:szCs w:val="28"/>
        </w:rPr>
      </w:pPr>
      <w:hyperlink r:id="rId6" w:history="1">
        <w:r w:rsidR="00D909DC" w:rsidRPr="00E07027">
          <w:rPr>
            <w:rStyle w:val="Hyperlink"/>
            <w:rFonts w:eastAsia="Times New Roman"/>
            <w:sz w:val="28"/>
            <w:szCs w:val="28"/>
          </w:rPr>
          <w:t>https://www.cdc.gov/coronavirus/2019-ncov/index.html</w:t>
        </w:r>
      </w:hyperlink>
      <w:r w:rsidR="00D909DC">
        <w:rPr>
          <w:rStyle w:val="Hyperlink"/>
          <w:rFonts w:eastAsia="Times New Roman"/>
          <w:sz w:val="28"/>
          <w:szCs w:val="28"/>
        </w:rPr>
        <w:t xml:space="preserve"> </w:t>
      </w:r>
      <w:r w:rsidR="00D909DC">
        <w:rPr>
          <w:rFonts w:eastAsia="Times New Roman"/>
          <w:sz w:val="28"/>
          <w:szCs w:val="28"/>
        </w:rPr>
        <w:t xml:space="preserve"> </w:t>
      </w:r>
    </w:p>
    <w:p w14:paraId="03D07B66" w14:textId="77777777" w:rsidR="00D909DC" w:rsidRDefault="00D909DC" w:rsidP="00D909DC">
      <w:pPr>
        <w:pStyle w:val="ListParagraph"/>
        <w:numPr>
          <w:ilvl w:val="2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GA Department of Education -</w:t>
      </w:r>
      <w:r w:rsidRPr="00780214">
        <w:rPr>
          <w:rFonts w:eastAsia="Times New Roman"/>
          <w:sz w:val="28"/>
          <w:szCs w:val="28"/>
        </w:rPr>
        <w:t xml:space="preserve"> COVID-19 (Coronavirus) and Schools  </w:t>
      </w:r>
    </w:p>
    <w:p w14:paraId="267FD95F" w14:textId="1F4CAB37" w:rsidR="00DF4852" w:rsidRPr="00D909DC" w:rsidRDefault="00AA5881" w:rsidP="00D909DC">
      <w:pPr>
        <w:pStyle w:val="ListParagraph"/>
        <w:numPr>
          <w:ilvl w:val="3"/>
          <w:numId w:val="1"/>
        </w:numPr>
        <w:rPr>
          <w:rFonts w:eastAsia="Times New Roman"/>
          <w:sz w:val="28"/>
          <w:szCs w:val="28"/>
        </w:rPr>
      </w:pPr>
      <w:hyperlink r:id="rId7" w:history="1">
        <w:r w:rsidR="00D909DC" w:rsidRPr="00E07027">
          <w:rPr>
            <w:rStyle w:val="Hyperlink"/>
            <w:rFonts w:asciiTheme="minorHAnsi" w:hAnsiTheme="minorHAnsi" w:cstheme="minorBidi"/>
            <w:sz w:val="28"/>
            <w:szCs w:val="28"/>
          </w:rPr>
          <w:t>https://www.georgiainsights.com/recovery.html</w:t>
        </w:r>
      </w:hyperlink>
    </w:p>
    <w:p w14:paraId="5B510FB5" w14:textId="77777777" w:rsidR="00D909DC" w:rsidRPr="00D909DC" w:rsidRDefault="00D909DC" w:rsidP="00D909DC">
      <w:pPr>
        <w:pStyle w:val="ListParagraph"/>
        <w:ind w:left="2880"/>
        <w:rPr>
          <w:rFonts w:eastAsia="Times New Roman"/>
          <w:sz w:val="28"/>
          <w:szCs w:val="28"/>
        </w:rPr>
      </w:pPr>
    </w:p>
    <w:p w14:paraId="725D6FC8" w14:textId="17FD96AB" w:rsidR="00095432" w:rsidRPr="00DF4852" w:rsidRDefault="00DF4852" w:rsidP="00DF4852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GAC expectations for</w:t>
      </w:r>
      <w:r w:rsidR="00D909DC">
        <w:rPr>
          <w:rFonts w:eastAsia="Times New Roman"/>
          <w:sz w:val="28"/>
          <w:szCs w:val="28"/>
        </w:rPr>
        <w:t xml:space="preserve"> schools with remote</w:t>
      </w:r>
      <w:r>
        <w:rPr>
          <w:rFonts w:eastAsia="Times New Roman"/>
          <w:sz w:val="28"/>
          <w:szCs w:val="28"/>
        </w:rPr>
        <w:t xml:space="preserve"> instruction</w:t>
      </w:r>
    </w:p>
    <w:p w14:paraId="5FCC49AE" w14:textId="1949489E" w:rsidR="00095432" w:rsidRDefault="00095432" w:rsidP="000954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Schools are still responsible for providing content</w:t>
      </w:r>
    </w:p>
    <w:p w14:paraId="3B337C77" w14:textId="2EF0059E" w:rsidR="00095432" w:rsidRDefault="00095432" w:rsidP="000954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Schools should use resources such as study packets, cable access, virtual school/online classes,</w:t>
      </w:r>
      <w:r w:rsidR="00D909DC">
        <w:rPr>
          <w:rFonts w:eastAsia="Times New Roman"/>
          <w:sz w:val="28"/>
          <w:szCs w:val="28"/>
        </w:rPr>
        <w:t xml:space="preserve"> Zoom,</w:t>
      </w:r>
      <w:r>
        <w:rPr>
          <w:rFonts w:eastAsia="Times New Roman"/>
          <w:sz w:val="28"/>
          <w:szCs w:val="28"/>
        </w:rPr>
        <w:t xml:space="preserve"> etc.</w:t>
      </w:r>
    </w:p>
    <w:p w14:paraId="413ABC6B" w14:textId="19C3858B" w:rsidR="00095432" w:rsidRDefault="00095432" w:rsidP="000954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School</w:t>
      </w:r>
      <w:r w:rsidR="00DF4852">
        <w:rPr>
          <w:rFonts w:eastAsia="Times New Roman"/>
          <w:sz w:val="28"/>
          <w:szCs w:val="28"/>
        </w:rPr>
        <w:t>s</w:t>
      </w:r>
      <w:r>
        <w:rPr>
          <w:rFonts w:eastAsia="Times New Roman"/>
          <w:sz w:val="28"/>
          <w:szCs w:val="28"/>
        </w:rPr>
        <w:t xml:space="preserve"> should develop a plan to ensure content is being delivered</w:t>
      </w:r>
    </w:p>
    <w:p w14:paraId="055B30E3" w14:textId="252B829B" w:rsidR="00095432" w:rsidRDefault="00095432" w:rsidP="000954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</w:t>
      </w:r>
      <w:r w:rsidR="00A654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plan </w:t>
      </w:r>
      <w:r w:rsidR="00A65464">
        <w:rPr>
          <w:rFonts w:eastAsia="Times New Roman"/>
          <w:sz w:val="28"/>
          <w:szCs w:val="28"/>
        </w:rPr>
        <w:t xml:space="preserve">should provide a way </w:t>
      </w:r>
      <w:r>
        <w:rPr>
          <w:rFonts w:eastAsia="Times New Roman"/>
          <w:sz w:val="28"/>
          <w:szCs w:val="28"/>
        </w:rPr>
        <w:t>to monitor student progress and provide feedback</w:t>
      </w:r>
    </w:p>
    <w:p w14:paraId="43CD4433" w14:textId="06919865" w:rsidR="00A65464" w:rsidRDefault="00A65464" w:rsidP="000954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 plan should describe how student progress is assessed</w:t>
      </w:r>
      <w:r w:rsidR="00D909DC">
        <w:rPr>
          <w:rFonts w:eastAsia="Times New Roman"/>
          <w:sz w:val="28"/>
          <w:szCs w:val="28"/>
        </w:rPr>
        <w:t>.</w:t>
      </w:r>
    </w:p>
    <w:p w14:paraId="1A9008ED" w14:textId="396FA8A5" w:rsidR="00D909DC" w:rsidRDefault="00D909DC" w:rsidP="000954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 plan should describe formal assessments.</w:t>
      </w:r>
    </w:p>
    <w:p w14:paraId="166F2A0B" w14:textId="77777777" w:rsidR="00095432" w:rsidRDefault="00095432" w:rsidP="000954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If on-line resources are used, there should be accommodations for those without this capability </w:t>
      </w:r>
    </w:p>
    <w:p w14:paraId="151A6B0A" w14:textId="4914504B" w:rsidR="00095432" w:rsidRDefault="00095432" w:rsidP="00095432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AA6953">
        <w:rPr>
          <w:rFonts w:eastAsia="Times New Roman"/>
          <w:sz w:val="28"/>
          <w:szCs w:val="28"/>
        </w:rPr>
        <w:t>There should be a plan to provide student transcripts in a timely manner</w:t>
      </w:r>
    </w:p>
    <w:p w14:paraId="2B593B8B" w14:textId="77777777" w:rsidR="00D909DC" w:rsidRDefault="00D909DC" w:rsidP="00D909DC">
      <w:pPr>
        <w:pStyle w:val="ListParagraph"/>
        <w:ind w:left="1440"/>
        <w:rPr>
          <w:rFonts w:eastAsia="Times New Roman"/>
          <w:sz w:val="28"/>
          <w:szCs w:val="28"/>
        </w:rPr>
      </w:pPr>
    </w:p>
    <w:p w14:paraId="52A5886F" w14:textId="0F42A4FF" w:rsidR="00780214" w:rsidRDefault="00AA5881" w:rsidP="00780214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Consultant </w:t>
      </w:r>
      <w:r w:rsidR="00780214">
        <w:rPr>
          <w:rFonts w:eastAsia="Times New Roman"/>
          <w:sz w:val="28"/>
          <w:szCs w:val="28"/>
        </w:rPr>
        <w:t>Visits</w:t>
      </w:r>
    </w:p>
    <w:p w14:paraId="336FEECE" w14:textId="77777777" w:rsidR="00780214" w:rsidRDefault="00780214" w:rsidP="00780214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 GAC has developed guidelines for its consultants to utilize for site visits.</w:t>
      </w:r>
    </w:p>
    <w:p w14:paraId="68291E90" w14:textId="279E474E" w:rsidR="00780214" w:rsidRDefault="00780214" w:rsidP="00780214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Your consultant will discuss the guidelines appropriate for your school with you before a visit.</w:t>
      </w:r>
    </w:p>
    <w:p w14:paraId="7E224177" w14:textId="6D8A2FC3" w:rsidR="00EC4E96" w:rsidRPr="00780214" w:rsidRDefault="00EC4E96" w:rsidP="00780214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 consultants are prepared to modify certain standards to accommodate a school’s temporary response to the COVID-19 crisis.</w:t>
      </w:r>
    </w:p>
    <w:p w14:paraId="4032D956" w14:textId="77777777" w:rsidR="00AD614C" w:rsidRDefault="00AD614C"/>
    <w:sectPr w:rsidR="00AD614C" w:rsidSect="00DF4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E2EAB"/>
    <w:multiLevelType w:val="hybridMultilevel"/>
    <w:tmpl w:val="0B6A4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32"/>
    <w:rsid w:val="00095432"/>
    <w:rsid w:val="001F4C6D"/>
    <w:rsid w:val="002C3BED"/>
    <w:rsid w:val="003826E3"/>
    <w:rsid w:val="005D7F59"/>
    <w:rsid w:val="00780214"/>
    <w:rsid w:val="00A65464"/>
    <w:rsid w:val="00A74742"/>
    <w:rsid w:val="00AA5881"/>
    <w:rsid w:val="00AD614C"/>
    <w:rsid w:val="00D909DC"/>
    <w:rsid w:val="00DF4852"/>
    <w:rsid w:val="00EC4E96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501A"/>
  <w15:chartTrackingRefBased/>
  <w15:docId w15:val="{045D20A6-8ACF-4D3C-938E-41DF27F8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3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F4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C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6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rgiainsights.com/recov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ndex.html" TargetMode="External"/><Relationship Id="rId5" Type="http://schemas.openxmlformats.org/officeDocument/2006/relationships/hyperlink" Target="https://dph.georgia.gov/novelcoronavi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Murphy</dc:creator>
  <cp:keywords/>
  <dc:description/>
  <cp:lastModifiedBy>Phillip Murphy</cp:lastModifiedBy>
  <cp:revision>2</cp:revision>
  <dcterms:created xsi:type="dcterms:W3CDTF">2020-08-13T18:48:00Z</dcterms:created>
  <dcterms:modified xsi:type="dcterms:W3CDTF">2020-08-13T18:48:00Z</dcterms:modified>
</cp:coreProperties>
</file>